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4A" w:rsidRPr="00E56127" w:rsidRDefault="00AC144A" w:rsidP="00AC144A">
      <w:pPr>
        <w:spacing w:after="200" w:line="276" w:lineRule="auto"/>
        <w:jc w:val="center"/>
        <w:rPr>
          <w:rFonts w:ascii="Verdana" w:eastAsiaTheme="minorHAnsi" w:hAnsi="Verdana" w:cs="Tahoma"/>
          <w:lang w:eastAsia="en-US"/>
        </w:rPr>
      </w:pPr>
      <w:bookmarkStart w:id="0" w:name="Testo_Proposta"/>
      <w:r w:rsidRPr="00E56127">
        <w:rPr>
          <w:rFonts w:ascii="Verdana" w:eastAsiaTheme="minorHAnsi" w:hAnsi="Verdana" w:cs="Tahoma"/>
          <w:lang w:eastAsia="en-US"/>
        </w:rPr>
        <w:t>Em</w:t>
      </w:r>
      <w:r w:rsidR="00DA650E" w:rsidRPr="00E56127">
        <w:rPr>
          <w:rFonts w:ascii="Verdana" w:eastAsiaTheme="minorHAnsi" w:hAnsi="Verdana" w:cs="Tahoma"/>
          <w:lang w:eastAsia="en-US"/>
        </w:rPr>
        <w:t xml:space="preserve">endamento al disegno di legge </w:t>
      </w:r>
      <w:r w:rsidR="004A6D6A" w:rsidRPr="00E56127">
        <w:rPr>
          <w:rFonts w:ascii="Verdana" w:eastAsiaTheme="minorHAnsi" w:hAnsi="Verdana" w:cs="Tahoma"/>
          <w:lang w:eastAsia="en-US"/>
        </w:rPr>
        <w:t>186</w:t>
      </w:r>
      <w:r w:rsidRPr="00E56127">
        <w:rPr>
          <w:rFonts w:ascii="Verdana" w:eastAsiaTheme="minorHAnsi" w:hAnsi="Verdana" w:cs="Tahoma"/>
          <w:lang w:eastAsia="en-US"/>
        </w:rPr>
        <w:t>/2016</w:t>
      </w:r>
    </w:p>
    <w:p w:rsidR="004E2EAA" w:rsidRPr="00E56127" w:rsidRDefault="004E2EAA" w:rsidP="00AC144A">
      <w:pPr>
        <w:spacing w:after="200" w:line="276" w:lineRule="auto"/>
        <w:jc w:val="center"/>
        <w:rPr>
          <w:rFonts w:ascii="Verdana" w:eastAsiaTheme="minorHAnsi" w:hAnsi="Verdana" w:cs="Tahoma"/>
          <w:lang w:eastAsia="en-US"/>
        </w:rPr>
      </w:pPr>
      <w:r w:rsidRPr="00E56127">
        <w:rPr>
          <w:rFonts w:ascii="Verdana" w:eastAsiaTheme="minorHAnsi" w:hAnsi="Verdana" w:cs="Tahoma"/>
          <w:lang w:eastAsia="en-US"/>
        </w:rPr>
        <w:t xml:space="preserve">Presentato in I Commissione il </w:t>
      </w:r>
      <w:r w:rsidR="00F4170C" w:rsidRPr="00E56127">
        <w:rPr>
          <w:rFonts w:ascii="Verdana" w:eastAsiaTheme="minorHAnsi" w:hAnsi="Verdana" w:cs="Tahoma"/>
          <w:lang w:eastAsia="en-US"/>
        </w:rPr>
        <w:t xml:space="preserve">  </w:t>
      </w:r>
      <w:r w:rsidR="004A6D6A" w:rsidRPr="00E56127">
        <w:rPr>
          <w:rFonts w:ascii="Verdana" w:eastAsiaTheme="minorHAnsi" w:hAnsi="Verdana" w:cs="Tahoma"/>
          <w:lang w:eastAsia="en-US"/>
        </w:rPr>
        <w:t>5 giugno</w:t>
      </w:r>
      <w:r w:rsidR="00F4170C" w:rsidRPr="00E56127">
        <w:rPr>
          <w:rFonts w:ascii="Verdana" w:eastAsiaTheme="minorHAnsi" w:hAnsi="Verdana" w:cs="Tahoma"/>
          <w:lang w:eastAsia="en-US"/>
        </w:rPr>
        <w:t xml:space="preserve">   </w:t>
      </w:r>
      <w:r w:rsidRPr="00E56127">
        <w:rPr>
          <w:rFonts w:ascii="Verdana" w:eastAsiaTheme="minorHAnsi" w:hAnsi="Verdana" w:cs="Tahoma"/>
          <w:lang w:eastAsia="en-US"/>
        </w:rPr>
        <w:t>2016</w:t>
      </w:r>
    </w:p>
    <w:p w:rsidR="001202B5" w:rsidRPr="00E56127" w:rsidRDefault="001202B5" w:rsidP="00AC144A">
      <w:pPr>
        <w:spacing w:after="200" w:line="276" w:lineRule="auto"/>
        <w:jc w:val="center"/>
        <w:rPr>
          <w:rFonts w:ascii="Verdana" w:eastAsiaTheme="minorHAnsi" w:hAnsi="Verdana" w:cs="Tahoma"/>
          <w:lang w:eastAsia="en-US"/>
        </w:rPr>
      </w:pPr>
    </w:p>
    <w:p w:rsidR="00D9729E" w:rsidRPr="00E56127" w:rsidRDefault="00D9729E" w:rsidP="00AC144A">
      <w:pPr>
        <w:spacing w:after="200" w:line="276" w:lineRule="auto"/>
        <w:jc w:val="center"/>
        <w:rPr>
          <w:rFonts w:ascii="Verdana" w:eastAsiaTheme="minorHAnsi" w:hAnsi="Verdana" w:cs="Tahoma"/>
          <w:lang w:eastAsia="en-US"/>
        </w:rPr>
      </w:pPr>
    </w:p>
    <w:p w:rsidR="00AC144A" w:rsidRPr="00E56127" w:rsidRDefault="00AC144A" w:rsidP="00AC144A">
      <w:pPr>
        <w:spacing w:after="200" w:line="276" w:lineRule="auto"/>
        <w:jc w:val="center"/>
        <w:rPr>
          <w:rFonts w:ascii="Verdana" w:eastAsiaTheme="minorHAnsi" w:hAnsi="Verdana" w:cs="Tahoma"/>
          <w:lang w:eastAsia="en-US"/>
        </w:rPr>
      </w:pPr>
      <w:r w:rsidRPr="00E56127">
        <w:rPr>
          <w:rFonts w:ascii="Verdana" w:eastAsiaTheme="minorHAnsi" w:hAnsi="Verdana" w:cs="Tahoma"/>
          <w:lang w:eastAsia="en-US"/>
        </w:rPr>
        <w:t>R E L A Z I O N E</w:t>
      </w:r>
    </w:p>
    <w:p w:rsidR="004A6D6A" w:rsidRPr="00E56127" w:rsidRDefault="00AC144A" w:rsidP="00AC144A">
      <w:pPr>
        <w:spacing w:after="200" w:line="276" w:lineRule="auto"/>
        <w:ind w:firstLine="708"/>
        <w:jc w:val="both"/>
        <w:rPr>
          <w:rFonts w:ascii="Verdana" w:eastAsiaTheme="minorHAnsi" w:hAnsi="Verdana" w:cs="Tahoma"/>
          <w:lang w:eastAsia="en-US"/>
        </w:rPr>
      </w:pPr>
      <w:r w:rsidRPr="00E56127">
        <w:rPr>
          <w:rFonts w:ascii="Verdana" w:eastAsiaTheme="minorHAnsi" w:hAnsi="Verdana" w:cs="Tahoma"/>
          <w:lang w:eastAsia="en-US"/>
        </w:rPr>
        <w:t xml:space="preserve">L’emendamento al disegno di legge </w:t>
      </w:r>
      <w:r w:rsidR="004A6D6A" w:rsidRPr="00E56127">
        <w:rPr>
          <w:rFonts w:ascii="Verdana" w:eastAsiaTheme="minorHAnsi" w:hAnsi="Verdana" w:cs="Tahoma"/>
          <w:lang w:eastAsia="en-US"/>
        </w:rPr>
        <w:t>186</w:t>
      </w:r>
      <w:r w:rsidRPr="00E56127">
        <w:rPr>
          <w:rFonts w:ascii="Verdana" w:eastAsiaTheme="minorHAnsi" w:hAnsi="Verdana" w:cs="Tahoma"/>
          <w:lang w:eastAsia="en-US"/>
        </w:rPr>
        <w:t>/2016 recepisce in un unico articolo, ai fini di economia procedurale, le disposizioni conte</w:t>
      </w:r>
      <w:r w:rsidR="001B4386" w:rsidRPr="00E56127">
        <w:rPr>
          <w:rFonts w:ascii="Verdana" w:eastAsiaTheme="minorHAnsi" w:hAnsi="Verdana" w:cs="Tahoma"/>
          <w:lang w:eastAsia="en-US"/>
        </w:rPr>
        <w:t>nute nei</w:t>
      </w:r>
      <w:r w:rsidR="00985DE6" w:rsidRPr="00E56127">
        <w:rPr>
          <w:rFonts w:ascii="Verdana" w:eastAsiaTheme="minorHAnsi" w:hAnsi="Verdana" w:cs="Tahoma"/>
          <w:lang w:eastAsia="en-US"/>
        </w:rPr>
        <w:t xml:space="preserve"> </w:t>
      </w:r>
      <w:r w:rsidR="001B4386" w:rsidRPr="00E56127">
        <w:rPr>
          <w:rFonts w:ascii="Verdana" w:eastAsiaTheme="minorHAnsi" w:hAnsi="Verdana" w:cs="Tahoma"/>
          <w:lang w:eastAsia="en-US"/>
        </w:rPr>
        <w:t>disegni</w:t>
      </w:r>
      <w:r w:rsidR="00985DE6" w:rsidRPr="00E56127">
        <w:rPr>
          <w:rFonts w:ascii="Verdana" w:eastAsiaTheme="minorHAnsi" w:hAnsi="Verdana" w:cs="Tahoma"/>
          <w:lang w:eastAsia="en-US"/>
        </w:rPr>
        <w:t xml:space="preserve"> di legge</w:t>
      </w:r>
      <w:r w:rsidRPr="00E56127">
        <w:rPr>
          <w:rFonts w:ascii="Verdana" w:eastAsiaTheme="minorHAnsi" w:hAnsi="Verdana" w:cs="Tahoma"/>
          <w:lang w:eastAsia="en-US"/>
        </w:rPr>
        <w:t xml:space="preserve"> </w:t>
      </w:r>
      <w:r w:rsidR="00D9729E" w:rsidRPr="00E56127">
        <w:rPr>
          <w:rFonts w:ascii="Verdana" w:eastAsiaTheme="minorHAnsi" w:hAnsi="Verdana" w:cs="Tahoma"/>
          <w:lang w:eastAsia="en-US"/>
        </w:rPr>
        <w:t>numero</w:t>
      </w:r>
      <w:r w:rsidR="00D854D1" w:rsidRPr="00E56127">
        <w:rPr>
          <w:rFonts w:ascii="Verdana" w:eastAsiaTheme="minorHAnsi" w:hAnsi="Verdana" w:cs="Tahoma"/>
          <w:lang w:eastAsia="en-US"/>
        </w:rPr>
        <w:t xml:space="preserve"> </w:t>
      </w:r>
      <w:r w:rsidR="004A6D6A" w:rsidRPr="00E56127">
        <w:rPr>
          <w:rFonts w:ascii="Verdana" w:eastAsiaTheme="minorHAnsi" w:hAnsi="Verdana" w:cs="Tahoma"/>
          <w:lang w:eastAsia="en-US"/>
        </w:rPr>
        <w:t>186/2016</w:t>
      </w:r>
      <w:r w:rsidR="00DD17F7">
        <w:rPr>
          <w:rFonts w:ascii="Verdana" w:eastAsiaTheme="minorHAnsi" w:hAnsi="Verdana" w:cs="Tahoma"/>
          <w:lang w:eastAsia="en-US"/>
        </w:rPr>
        <w:t xml:space="preserve"> e </w:t>
      </w:r>
      <w:r w:rsidR="001B4386" w:rsidRPr="00E56127">
        <w:rPr>
          <w:rFonts w:ascii="Verdana" w:eastAsiaTheme="minorHAnsi" w:hAnsi="Verdana" w:cs="Tahoma"/>
          <w:lang w:eastAsia="en-US"/>
        </w:rPr>
        <w:t xml:space="preserve">n. </w:t>
      </w:r>
      <w:r w:rsidR="004A6D6A" w:rsidRPr="00E56127">
        <w:rPr>
          <w:rFonts w:ascii="Verdana" w:eastAsiaTheme="minorHAnsi" w:hAnsi="Verdana" w:cs="Tahoma"/>
          <w:lang w:eastAsia="en-US"/>
        </w:rPr>
        <w:t>68/2017</w:t>
      </w:r>
      <w:r w:rsidR="001B4386" w:rsidRPr="00E56127">
        <w:rPr>
          <w:rFonts w:ascii="Verdana" w:eastAsiaTheme="minorHAnsi" w:hAnsi="Verdana" w:cs="Tahoma"/>
          <w:lang w:eastAsia="en-US"/>
        </w:rPr>
        <w:t>.</w:t>
      </w:r>
    </w:p>
    <w:p w:rsidR="00AC144A" w:rsidRPr="00E56127" w:rsidRDefault="00DA650E" w:rsidP="00AC144A">
      <w:pPr>
        <w:spacing w:after="200" w:line="276" w:lineRule="auto"/>
        <w:ind w:firstLine="708"/>
        <w:jc w:val="both"/>
        <w:rPr>
          <w:rFonts w:ascii="Verdana" w:eastAsiaTheme="minorHAnsi" w:hAnsi="Verdana" w:cs="Tahoma"/>
          <w:lang w:eastAsia="en-US"/>
        </w:rPr>
      </w:pPr>
      <w:r w:rsidRPr="00E56127">
        <w:rPr>
          <w:rFonts w:ascii="Verdana" w:eastAsiaTheme="minorHAnsi" w:hAnsi="Verdana" w:cs="Tahoma"/>
          <w:lang w:eastAsia="en-US"/>
        </w:rPr>
        <w:t>I</w:t>
      </w:r>
      <w:r w:rsidR="00AC144A" w:rsidRPr="00E56127">
        <w:rPr>
          <w:rFonts w:ascii="Verdana" w:eastAsiaTheme="minorHAnsi" w:hAnsi="Verdana" w:cs="Tahoma"/>
          <w:lang w:eastAsia="en-US"/>
        </w:rPr>
        <w:t xml:space="preserve"> relativi referti tecnici</w:t>
      </w:r>
      <w:r w:rsidR="00EA283D" w:rsidRPr="00E56127">
        <w:rPr>
          <w:rFonts w:ascii="Verdana" w:eastAsiaTheme="minorHAnsi" w:hAnsi="Verdana" w:cs="Tahoma"/>
          <w:lang w:eastAsia="en-US"/>
        </w:rPr>
        <w:t xml:space="preserve"> e le analisi tecniche normative (ATN)</w:t>
      </w:r>
      <w:r w:rsidR="00AC144A" w:rsidRPr="00E56127">
        <w:rPr>
          <w:rFonts w:ascii="Verdana" w:eastAsiaTheme="minorHAnsi" w:hAnsi="Verdana" w:cs="Tahoma"/>
          <w:lang w:eastAsia="en-US"/>
        </w:rPr>
        <w:t xml:space="preserve"> depositati nella I Commissione saranno integralmente</w:t>
      </w:r>
      <w:r w:rsidRPr="00E56127">
        <w:rPr>
          <w:rFonts w:ascii="Verdana" w:eastAsiaTheme="minorHAnsi" w:hAnsi="Verdana" w:cs="Tahoma"/>
          <w:lang w:eastAsia="en-US"/>
        </w:rPr>
        <w:t xml:space="preserve"> allegati al disegno di legge </w:t>
      </w:r>
      <w:r w:rsidR="004A6D6A" w:rsidRPr="00E56127">
        <w:rPr>
          <w:rFonts w:ascii="Verdana" w:eastAsiaTheme="minorHAnsi" w:hAnsi="Verdana" w:cs="Tahoma"/>
          <w:lang w:eastAsia="en-US"/>
        </w:rPr>
        <w:t>186</w:t>
      </w:r>
      <w:r w:rsidR="00AC144A" w:rsidRPr="00E56127">
        <w:rPr>
          <w:rFonts w:ascii="Verdana" w:eastAsiaTheme="minorHAnsi" w:hAnsi="Verdana" w:cs="Tahoma"/>
          <w:lang w:eastAsia="en-US"/>
        </w:rPr>
        <w:t>/2016.</w:t>
      </w:r>
    </w:p>
    <w:p w:rsidR="003B2336" w:rsidRPr="00E56127" w:rsidRDefault="003B2336" w:rsidP="00AC144A">
      <w:pPr>
        <w:spacing w:after="200" w:line="276" w:lineRule="auto"/>
        <w:ind w:firstLine="708"/>
        <w:jc w:val="both"/>
        <w:rPr>
          <w:rFonts w:ascii="Verdana" w:eastAsiaTheme="minorHAnsi" w:hAnsi="Verdana" w:cs="Tahoma"/>
          <w:lang w:eastAsia="en-US"/>
        </w:rPr>
      </w:pPr>
    </w:p>
    <w:p w:rsidR="00D9729E" w:rsidRPr="00E56127" w:rsidRDefault="00D9729E" w:rsidP="00AC144A">
      <w:pPr>
        <w:spacing w:after="200" w:line="276" w:lineRule="auto"/>
        <w:jc w:val="center"/>
        <w:rPr>
          <w:rFonts w:ascii="Verdana" w:eastAsiaTheme="minorHAnsi" w:hAnsi="Verdana" w:cs="Tahoma"/>
          <w:lang w:eastAsia="en-US"/>
        </w:rPr>
      </w:pPr>
    </w:p>
    <w:p w:rsidR="00AC144A" w:rsidRPr="00E56127" w:rsidRDefault="00AC144A" w:rsidP="00AC144A">
      <w:pPr>
        <w:spacing w:after="200" w:line="276" w:lineRule="auto"/>
        <w:jc w:val="center"/>
        <w:rPr>
          <w:rFonts w:ascii="Verdana" w:eastAsiaTheme="minorHAnsi" w:hAnsi="Verdana" w:cs="Tahoma"/>
          <w:lang w:eastAsia="en-US"/>
        </w:rPr>
      </w:pPr>
      <w:r w:rsidRPr="00E56127">
        <w:rPr>
          <w:rFonts w:ascii="Verdana" w:eastAsiaTheme="minorHAnsi" w:hAnsi="Verdana" w:cs="Tahoma"/>
          <w:lang w:eastAsia="en-US"/>
        </w:rPr>
        <w:t>Emendamento</w:t>
      </w:r>
    </w:p>
    <w:p w:rsidR="00AC144A" w:rsidRPr="00E56127" w:rsidRDefault="00AC144A" w:rsidP="00AC144A">
      <w:pPr>
        <w:spacing w:line="276" w:lineRule="auto"/>
        <w:jc w:val="both"/>
        <w:rPr>
          <w:rFonts w:ascii="Verdana" w:eastAsiaTheme="minorHAnsi" w:hAnsi="Verdana" w:cs="Tahoma"/>
          <w:lang w:eastAsia="en-US"/>
        </w:rPr>
      </w:pPr>
      <w:r w:rsidRPr="00E56127">
        <w:rPr>
          <w:rFonts w:ascii="Verdana" w:eastAsiaTheme="minorHAnsi" w:hAnsi="Verdana" w:cs="Tahoma"/>
          <w:lang w:eastAsia="en-US"/>
        </w:rPr>
        <w:t>Sostituire l’inte</w:t>
      </w:r>
      <w:r w:rsidR="00D9729E" w:rsidRPr="00E56127">
        <w:rPr>
          <w:rFonts w:ascii="Verdana" w:eastAsiaTheme="minorHAnsi" w:hAnsi="Verdana" w:cs="Tahoma"/>
          <w:lang w:eastAsia="en-US"/>
        </w:rPr>
        <w:t>ro disegno di legge</w:t>
      </w:r>
      <w:r w:rsidRPr="00E56127">
        <w:rPr>
          <w:rFonts w:ascii="Verdana" w:eastAsiaTheme="minorHAnsi" w:hAnsi="Verdana" w:cs="Tahoma"/>
          <w:lang w:eastAsia="en-US"/>
        </w:rPr>
        <w:t xml:space="preserve"> </w:t>
      </w:r>
      <w:r w:rsidR="004A6D6A" w:rsidRPr="00E56127">
        <w:rPr>
          <w:rFonts w:ascii="Verdana" w:eastAsiaTheme="minorHAnsi" w:hAnsi="Verdana" w:cs="Tahoma"/>
          <w:lang w:eastAsia="en-US"/>
        </w:rPr>
        <w:t>186/2016</w:t>
      </w:r>
      <w:r w:rsidRPr="00E56127">
        <w:rPr>
          <w:rFonts w:ascii="Verdana" w:eastAsiaTheme="minorHAnsi" w:hAnsi="Verdana" w:cs="Tahoma"/>
          <w:lang w:eastAsia="en-US"/>
        </w:rPr>
        <w:t xml:space="preserve"> con il seguente:</w:t>
      </w:r>
    </w:p>
    <w:p w:rsidR="00D8477F" w:rsidRPr="00E56127" w:rsidRDefault="00D8477F" w:rsidP="00D8477F">
      <w:pPr>
        <w:tabs>
          <w:tab w:val="left" w:pos="993"/>
        </w:tabs>
        <w:spacing w:after="160"/>
        <w:jc w:val="center"/>
        <w:rPr>
          <w:rFonts w:ascii="Verdana" w:hAnsi="Verdana" w:cs="Tahoma"/>
        </w:rPr>
      </w:pPr>
    </w:p>
    <w:p w:rsidR="00D9729E" w:rsidRPr="00E56127" w:rsidRDefault="00D9729E" w:rsidP="00D8477F">
      <w:pPr>
        <w:tabs>
          <w:tab w:val="left" w:pos="993"/>
        </w:tabs>
        <w:spacing w:after="160"/>
        <w:jc w:val="center"/>
        <w:rPr>
          <w:rFonts w:ascii="Verdana" w:hAnsi="Verdana" w:cs="Tahoma"/>
        </w:rPr>
      </w:pPr>
    </w:p>
    <w:p w:rsidR="00D9729E" w:rsidRPr="00E56127" w:rsidRDefault="00D9729E" w:rsidP="00D8477F">
      <w:pPr>
        <w:tabs>
          <w:tab w:val="left" w:pos="993"/>
        </w:tabs>
        <w:spacing w:after="160"/>
        <w:jc w:val="center"/>
        <w:rPr>
          <w:rFonts w:ascii="Verdana" w:hAnsi="Verdana" w:cs="Tahoma"/>
        </w:rPr>
      </w:pPr>
    </w:p>
    <w:p w:rsidR="00414793" w:rsidRPr="00E56127" w:rsidRDefault="00414793" w:rsidP="00414793">
      <w:pPr>
        <w:jc w:val="center"/>
        <w:rPr>
          <w:rFonts w:ascii="Verdana" w:eastAsia="MS Minngs" w:hAnsi="Verdana" w:cs="Tahoma"/>
          <w:color w:val="222222"/>
          <w:shd w:val="clear" w:color="auto" w:fill="FFFFFF"/>
        </w:rPr>
      </w:pPr>
    </w:p>
    <w:p w:rsidR="00414793" w:rsidRPr="00E56127" w:rsidRDefault="00414793" w:rsidP="00414793">
      <w:pPr>
        <w:jc w:val="center"/>
        <w:rPr>
          <w:rFonts w:ascii="Verdana" w:eastAsia="MS Minngs" w:hAnsi="Verdana" w:cs="Tahoma"/>
          <w:color w:val="222222"/>
          <w:shd w:val="clear" w:color="auto" w:fill="FFFFFF"/>
        </w:rPr>
      </w:pPr>
    </w:p>
    <w:p w:rsidR="00414793" w:rsidRDefault="00414793" w:rsidP="00414793">
      <w:pPr>
        <w:jc w:val="center"/>
        <w:rPr>
          <w:rFonts w:ascii="Verdana" w:eastAsia="MS Minngs" w:hAnsi="Verdana" w:cs="Tahoma"/>
          <w:color w:val="222222"/>
          <w:shd w:val="clear" w:color="auto" w:fill="FFFFFF"/>
        </w:rPr>
      </w:pPr>
    </w:p>
    <w:p w:rsidR="00571E42" w:rsidRDefault="00571E42" w:rsidP="00414793">
      <w:pPr>
        <w:jc w:val="center"/>
        <w:rPr>
          <w:rFonts w:ascii="Verdana" w:eastAsia="MS Minngs" w:hAnsi="Verdana" w:cs="Tahoma"/>
          <w:color w:val="222222"/>
          <w:shd w:val="clear" w:color="auto" w:fill="FFFFFF"/>
        </w:rPr>
      </w:pPr>
    </w:p>
    <w:p w:rsidR="00571E42" w:rsidRDefault="00571E42" w:rsidP="00414793">
      <w:pPr>
        <w:jc w:val="center"/>
        <w:rPr>
          <w:rFonts w:ascii="Verdana" w:eastAsia="MS Minngs" w:hAnsi="Verdana" w:cs="Tahoma"/>
          <w:color w:val="222222"/>
          <w:shd w:val="clear" w:color="auto" w:fill="FFFFFF"/>
        </w:rPr>
      </w:pPr>
    </w:p>
    <w:p w:rsidR="00571E42" w:rsidRDefault="00571E42" w:rsidP="00414793">
      <w:pPr>
        <w:jc w:val="center"/>
        <w:rPr>
          <w:rFonts w:ascii="Verdana" w:eastAsia="MS Minngs" w:hAnsi="Verdana" w:cs="Tahoma"/>
          <w:color w:val="222222"/>
          <w:shd w:val="clear" w:color="auto" w:fill="FFFFFF"/>
        </w:rPr>
      </w:pPr>
    </w:p>
    <w:p w:rsidR="00571E42" w:rsidRDefault="00571E42" w:rsidP="00414793">
      <w:pPr>
        <w:jc w:val="center"/>
        <w:rPr>
          <w:rFonts w:ascii="Verdana" w:eastAsia="MS Minngs" w:hAnsi="Verdana" w:cs="Tahoma"/>
          <w:color w:val="222222"/>
          <w:shd w:val="clear" w:color="auto" w:fill="FFFFFF"/>
        </w:rPr>
      </w:pPr>
    </w:p>
    <w:p w:rsidR="00414793" w:rsidRPr="00E56127" w:rsidRDefault="00414793" w:rsidP="00414793">
      <w:pPr>
        <w:jc w:val="center"/>
        <w:rPr>
          <w:rFonts w:ascii="Verdana" w:eastAsia="MS Minngs" w:hAnsi="Verdana" w:cs="Tahoma"/>
          <w:color w:val="222222"/>
          <w:shd w:val="clear" w:color="auto" w:fill="FFFFFF"/>
        </w:rPr>
      </w:pPr>
      <w:r w:rsidRPr="00E56127">
        <w:rPr>
          <w:rFonts w:ascii="Verdana" w:eastAsia="MS Minngs" w:hAnsi="Verdana" w:cs="Tahoma"/>
          <w:color w:val="222222"/>
          <w:shd w:val="clear" w:color="auto" w:fill="FFFFFF"/>
        </w:rPr>
        <w:lastRenderedPageBreak/>
        <w:t>Disegno di legge</w:t>
      </w:r>
    </w:p>
    <w:p w:rsidR="00414793" w:rsidRPr="00E56127" w:rsidRDefault="00414793" w:rsidP="00414793">
      <w:pPr>
        <w:ind w:left="851"/>
        <w:jc w:val="center"/>
        <w:rPr>
          <w:rFonts w:ascii="Verdana" w:eastAsia="MS Minngs" w:hAnsi="Verdana" w:cs="Tahoma"/>
          <w:b/>
          <w:i/>
          <w:color w:val="222222"/>
          <w:shd w:val="clear" w:color="auto" w:fill="FFFFFF"/>
        </w:rPr>
      </w:pPr>
    </w:p>
    <w:p w:rsidR="00414793" w:rsidRPr="00E56127" w:rsidRDefault="00414793" w:rsidP="00414793">
      <w:pPr>
        <w:jc w:val="both"/>
        <w:rPr>
          <w:rFonts w:ascii="Verdana" w:eastAsia="MS Minngs" w:hAnsi="Verdana" w:cs="Tahoma"/>
          <w:b/>
        </w:rPr>
      </w:pPr>
      <w:r w:rsidRPr="00E56127">
        <w:rPr>
          <w:rFonts w:ascii="Verdana" w:eastAsia="MS Minngs" w:hAnsi="Verdana" w:cs="Tahoma"/>
          <w:color w:val="222222"/>
          <w:shd w:val="clear" w:color="auto" w:fill="FFFFFF"/>
        </w:rPr>
        <w:t>“Riconoscimento di debito fuori bilancio ai sensi dell’art. 73 comma 1 lett</w:t>
      </w:r>
      <w:r w:rsidR="006C6340" w:rsidRPr="00E56127">
        <w:rPr>
          <w:rFonts w:ascii="Verdana" w:eastAsia="MS Minngs" w:hAnsi="Verdana" w:cs="Tahoma"/>
          <w:color w:val="222222"/>
          <w:shd w:val="clear" w:color="auto" w:fill="FFFFFF"/>
        </w:rPr>
        <w:t>era</w:t>
      </w:r>
      <w:r w:rsidRPr="00E56127">
        <w:rPr>
          <w:rFonts w:ascii="Verdana" w:eastAsia="MS Minngs" w:hAnsi="Verdana" w:cs="Tahoma"/>
          <w:color w:val="222222"/>
          <w:shd w:val="clear" w:color="auto" w:fill="FFFFFF"/>
        </w:rPr>
        <w:t xml:space="preserve"> a)</w:t>
      </w:r>
      <w:r w:rsidRPr="00E56127">
        <w:rPr>
          <w:rFonts w:ascii="Verdana" w:eastAsia="MS Minngs" w:hAnsi="Verdana" w:cs="Tahoma"/>
        </w:rPr>
        <w:t xml:space="preserve"> del decreto legislativo 23 giugno 2011, n. 118.  (Disposizioni in materia di armonizzazione dei sistemi contabili e degli schemi di bilancio delle regioni, degli enti locali e dei loro organismi, a norma degli articoli 1 e 2 della legge 5 maggio 2009, n, 42), come modificato dal decreto legislativo 10 agosto 2014, n. 126”</w:t>
      </w:r>
    </w:p>
    <w:p w:rsidR="00414793" w:rsidRPr="00E56127" w:rsidRDefault="00414793" w:rsidP="00414793">
      <w:pPr>
        <w:jc w:val="both"/>
        <w:rPr>
          <w:rFonts w:ascii="Verdana" w:eastAsia="MS Minngs" w:hAnsi="Verdana" w:cs="Tahoma"/>
          <w:b/>
          <w:color w:val="222222"/>
          <w:shd w:val="clear" w:color="auto" w:fill="FFFFFF"/>
        </w:rPr>
      </w:pPr>
    </w:p>
    <w:p w:rsidR="00414793" w:rsidRDefault="00414793" w:rsidP="00414793">
      <w:pPr>
        <w:tabs>
          <w:tab w:val="left" w:pos="567"/>
        </w:tabs>
        <w:jc w:val="center"/>
        <w:rPr>
          <w:rFonts w:ascii="Verdana" w:eastAsia="MS Minngs" w:hAnsi="Verdana" w:cs="Tahoma"/>
        </w:rPr>
      </w:pPr>
    </w:p>
    <w:p w:rsidR="00571E42" w:rsidRDefault="00571E42" w:rsidP="00414793">
      <w:pPr>
        <w:tabs>
          <w:tab w:val="left" w:pos="567"/>
        </w:tabs>
        <w:jc w:val="center"/>
        <w:rPr>
          <w:rFonts w:ascii="Verdana" w:eastAsia="MS Minngs" w:hAnsi="Verdana" w:cs="Tahoma"/>
        </w:rPr>
      </w:pPr>
    </w:p>
    <w:p w:rsidR="00414793" w:rsidRPr="00E56127" w:rsidRDefault="00414793" w:rsidP="00414793">
      <w:pPr>
        <w:tabs>
          <w:tab w:val="left" w:pos="567"/>
        </w:tabs>
        <w:jc w:val="center"/>
        <w:rPr>
          <w:rFonts w:ascii="Verdana" w:eastAsia="MS Minngs" w:hAnsi="Verdana" w:cs="Tahoma"/>
        </w:rPr>
      </w:pPr>
      <w:r w:rsidRPr="00E56127">
        <w:rPr>
          <w:rFonts w:ascii="Verdana" w:eastAsia="MS Minngs" w:hAnsi="Verdana" w:cs="Tahoma"/>
        </w:rPr>
        <w:t>Art.1</w:t>
      </w:r>
    </w:p>
    <w:p w:rsidR="00414793" w:rsidRPr="00571E42" w:rsidRDefault="00414793" w:rsidP="00414793">
      <w:pPr>
        <w:jc w:val="center"/>
        <w:rPr>
          <w:rFonts w:ascii="Verdana" w:eastAsia="MS Minngs" w:hAnsi="Verdana" w:cs="Tahoma"/>
          <w:i/>
        </w:rPr>
      </w:pPr>
      <w:r w:rsidRPr="00571E42">
        <w:rPr>
          <w:rFonts w:ascii="Verdana" w:eastAsia="MS Minngs" w:hAnsi="Verdana" w:cs="Tahoma"/>
          <w:i/>
        </w:rPr>
        <w:t>Riconoscimento di debiti fuori bilancio ai sensi dell’artico</w:t>
      </w:r>
      <w:r w:rsidR="00571E42" w:rsidRPr="00571E42">
        <w:rPr>
          <w:rFonts w:ascii="Verdana" w:eastAsia="MS Minngs" w:hAnsi="Verdana" w:cs="Tahoma"/>
          <w:i/>
        </w:rPr>
        <w:t>lo 73, comma 1, lettera a)</w:t>
      </w:r>
      <w:r w:rsidRPr="00571E42">
        <w:rPr>
          <w:rFonts w:ascii="Verdana" w:eastAsia="MS Minngs" w:hAnsi="Verdana" w:cs="Tahoma"/>
          <w:i/>
        </w:rPr>
        <w:t>, del decreto legislativo 23 giugno 2011, n. 118”</w:t>
      </w:r>
    </w:p>
    <w:p w:rsidR="00414793" w:rsidRPr="00E56127" w:rsidRDefault="00414793" w:rsidP="00414793">
      <w:pPr>
        <w:jc w:val="both"/>
        <w:rPr>
          <w:rFonts w:ascii="Verdana" w:eastAsia="MS Minngs" w:hAnsi="Verdana" w:cs="Tahoma"/>
          <w:i/>
        </w:rPr>
      </w:pPr>
    </w:p>
    <w:p w:rsidR="00414793" w:rsidRPr="00E56127" w:rsidRDefault="00414793" w:rsidP="00414793">
      <w:pPr>
        <w:tabs>
          <w:tab w:val="left" w:pos="426"/>
        </w:tabs>
        <w:jc w:val="both"/>
        <w:rPr>
          <w:rFonts w:ascii="Verdana" w:eastAsia="MS Minngs" w:hAnsi="Verdana" w:cs="Tahoma"/>
        </w:rPr>
      </w:pPr>
      <w:r w:rsidRPr="00E56127">
        <w:rPr>
          <w:rFonts w:ascii="Verdana" w:eastAsia="MS Minngs" w:hAnsi="Verdana" w:cs="Tahoma"/>
        </w:rPr>
        <w:t>1</w:t>
      </w:r>
      <w:r w:rsidRPr="00E56127">
        <w:rPr>
          <w:rFonts w:ascii="Verdana" w:eastAsia="MS Minngs" w:hAnsi="Verdana" w:cs="Tahoma"/>
          <w:i/>
        </w:rPr>
        <w:t>.</w:t>
      </w:r>
      <w:r w:rsidRPr="00E56127">
        <w:rPr>
          <w:rFonts w:ascii="Verdana" w:eastAsia="MS Minngs" w:hAnsi="Verdana" w:cs="Tahoma"/>
          <w:i/>
        </w:rPr>
        <w:tab/>
        <w:t xml:space="preserve"> </w:t>
      </w:r>
      <w:r w:rsidR="00571E42">
        <w:rPr>
          <w:rFonts w:ascii="Verdana" w:eastAsia="MS Minngs" w:hAnsi="Verdana" w:cs="Tahoma"/>
        </w:rPr>
        <w:t>Ai sensi</w:t>
      </w:r>
      <w:r w:rsidRPr="00E56127">
        <w:rPr>
          <w:rFonts w:ascii="Verdana" w:eastAsia="MS Minngs" w:hAnsi="Verdana" w:cs="Tahoma"/>
        </w:rPr>
        <w:t xml:space="preserve"> dell’artico</w:t>
      </w:r>
      <w:r w:rsidR="00571E42">
        <w:rPr>
          <w:rFonts w:ascii="Verdana" w:eastAsia="MS Minngs" w:hAnsi="Verdana" w:cs="Tahoma"/>
        </w:rPr>
        <w:t>lo 73, comma 1, lettera a)</w:t>
      </w:r>
      <w:r w:rsidRPr="00E56127">
        <w:rPr>
          <w:rFonts w:ascii="Verdana" w:eastAsia="MS Minngs" w:hAnsi="Verdana" w:cs="Tahoma"/>
        </w:rPr>
        <w:t xml:space="preserve"> del decreto legislativo 23 giugno 2011, n.118 (Disposizioni in materia di armonizzazione dei sistemi contabili e degli schemi di bilancio delle Regioni, degli enti locali e dei loro organismi, a norma degli articoli 1 e 2 delle legge 5 maggio 2009, n. 42), come modificato dal decreto legislativo 10 agosto 2014, n. 126, sono riconosciuti legittimi i debiti </w:t>
      </w:r>
      <w:r w:rsidR="00571E42">
        <w:rPr>
          <w:rFonts w:ascii="Verdana" w:eastAsia="MS Minngs" w:hAnsi="Verdana" w:cs="Tahoma"/>
        </w:rPr>
        <w:t>fuori bilancio di cui alle seguenti lettere a) e b):</w:t>
      </w:r>
    </w:p>
    <w:p w:rsidR="00414793" w:rsidRPr="00E56127" w:rsidRDefault="00414793" w:rsidP="001B4386">
      <w:pPr>
        <w:numPr>
          <w:ilvl w:val="0"/>
          <w:numId w:val="17"/>
        </w:numPr>
        <w:ind w:left="993" w:hanging="426"/>
        <w:contextualSpacing/>
        <w:jc w:val="both"/>
        <w:rPr>
          <w:rFonts w:ascii="Tahoma" w:eastAsia="MS Minngs" w:hAnsi="Tahoma" w:cs="Tahoma"/>
          <w:b/>
          <w:color w:val="222222"/>
          <w:shd w:val="clear" w:color="auto" w:fill="FFFFFF"/>
        </w:rPr>
      </w:pPr>
      <w:r w:rsidRPr="00E56127">
        <w:rPr>
          <w:rFonts w:ascii="Verdana" w:eastAsia="MS Minngs" w:hAnsi="Verdana" w:cs="Cambria"/>
        </w:rPr>
        <w:t>Il debito fuori bilancio</w:t>
      </w:r>
      <w:r w:rsidR="00C35E90">
        <w:rPr>
          <w:rFonts w:ascii="Verdana" w:eastAsia="MS Minngs" w:hAnsi="Verdana" w:cs="Cambria"/>
        </w:rPr>
        <w:t>,</w:t>
      </w:r>
      <w:r w:rsidR="00C35E90" w:rsidRPr="00C35E90">
        <w:rPr>
          <w:rFonts w:ascii="Verdana" w:eastAsia="MS Minngs" w:hAnsi="Verdana" w:cs="Tahoma"/>
        </w:rPr>
        <w:t xml:space="preserve"> </w:t>
      </w:r>
      <w:r w:rsidR="00C35E90" w:rsidRPr="00E56127">
        <w:rPr>
          <w:rFonts w:ascii="Verdana" w:eastAsia="MS Minngs" w:hAnsi="Verdana" w:cs="Tahoma"/>
        </w:rPr>
        <w:t>ai sensi dell’articolo 73, comma 1, lettera a) del decreto legislativo 118/2011</w:t>
      </w:r>
      <w:r w:rsidR="00C35E90">
        <w:rPr>
          <w:rFonts w:ascii="Verdana" w:eastAsia="MS Minngs" w:hAnsi="Verdana" w:cs="Tahoma"/>
        </w:rPr>
        <w:t>,</w:t>
      </w:r>
      <w:r w:rsidRPr="00E56127">
        <w:rPr>
          <w:rFonts w:ascii="Verdana" w:eastAsia="MS Minngs" w:hAnsi="Verdana" w:cs="Cambria"/>
        </w:rPr>
        <w:t xml:space="preserve"> derivante dai </w:t>
      </w:r>
      <w:r w:rsidR="001B4386" w:rsidRPr="00E56127">
        <w:rPr>
          <w:rFonts w:ascii="Verdana" w:eastAsia="MS Minngs" w:hAnsi="Verdana" w:cs="Cambria"/>
        </w:rPr>
        <w:t>decreti ingiuntivi</w:t>
      </w:r>
      <w:r w:rsidR="00C3620B" w:rsidRPr="00C3620B">
        <w:rPr>
          <w:rFonts w:ascii="Verdana" w:eastAsia="MS Minngs" w:hAnsi="Verdana" w:cs="Cambria"/>
        </w:rPr>
        <w:t xml:space="preserve"> </w:t>
      </w:r>
      <w:r w:rsidR="00C3620B" w:rsidRPr="00E56127">
        <w:rPr>
          <w:rFonts w:ascii="Verdana" w:eastAsia="MS Minngs" w:hAnsi="Verdana" w:cs="Cambria"/>
        </w:rPr>
        <w:t>emessi dal Giudice di pace di Ginosa e dai successivi atti di precetto notificati il 5 luglio 2016, dell’import</w:t>
      </w:r>
      <w:r w:rsidR="00C3620B">
        <w:rPr>
          <w:rFonts w:ascii="Verdana" w:eastAsia="MS Minngs" w:hAnsi="Verdana" w:cs="Cambria"/>
        </w:rPr>
        <w:t xml:space="preserve">o complessivo di euro 49.750,20, </w:t>
      </w:r>
      <w:bookmarkStart w:id="1" w:name="_GoBack"/>
      <w:bookmarkEnd w:id="1"/>
      <w:r w:rsidR="001B4386" w:rsidRPr="00E56127">
        <w:rPr>
          <w:rFonts w:ascii="Verdana" w:eastAsia="MS Minngs" w:hAnsi="Verdana" w:cs="Cambria"/>
        </w:rPr>
        <w:t xml:space="preserve">: n.163/2012, </w:t>
      </w:r>
      <w:r w:rsidRPr="00E56127">
        <w:rPr>
          <w:rFonts w:ascii="Verdana" w:eastAsia="MS Minngs" w:hAnsi="Verdana" w:cs="Cambria"/>
        </w:rPr>
        <w:t>n.164/2</w:t>
      </w:r>
      <w:r w:rsidR="001B4386" w:rsidRPr="00E56127">
        <w:rPr>
          <w:rFonts w:ascii="Verdana" w:eastAsia="MS Minngs" w:hAnsi="Verdana" w:cs="Cambria"/>
        </w:rPr>
        <w:t xml:space="preserve">0012, n. 247/2012, n. 248/2012, </w:t>
      </w:r>
      <w:r w:rsidRPr="00E56127">
        <w:rPr>
          <w:rFonts w:ascii="Verdana" w:eastAsia="MS Minngs" w:hAnsi="Verdana" w:cs="Cambria"/>
        </w:rPr>
        <w:t>n. 249/2012, n. 258/2012, n. 270/2012, n. 271/2012, n. 273/2012, n. 274/2012, n. 275/2012, n. 283/2012, n. 284/2012, n. 317/2012, n. 321/2012, n. 322/2012, n. 329/2012, n. 330/2012, n. 331/2012, n. 332/2012, n. 345/2012, n. 348/2012, n. 350/2012, n. 364/2012, n. 365/2012, n. 368/2012, n. 371/</w:t>
      </w:r>
      <w:r w:rsidR="001B4386" w:rsidRPr="00E56127">
        <w:rPr>
          <w:rFonts w:ascii="Verdana" w:eastAsia="MS Minngs" w:hAnsi="Verdana" w:cs="Cambria"/>
        </w:rPr>
        <w:t>2012, n. 427/2012, n. 428/2012,</w:t>
      </w:r>
      <w:r w:rsidRPr="00E56127">
        <w:rPr>
          <w:rFonts w:ascii="Verdana" w:eastAsia="MS Minngs" w:hAnsi="Verdana" w:cs="Cambria"/>
        </w:rPr>
        <w:t xml:space="preserve">n. 442/2012, n. 450/2012, n. 515/2012, n. 519/2012, n. 520/2012, n. 521/2012, n. 522/2012, n. 527/2012, n. 528/2012, n. 849/2012, n.872/2012, </w:t>
      </w:r>
      <w:r w:rsidRPr="00E56127">
        <w:rPr>
          <w:rFonts w:ascii="Verdana" w:eastAsia="MS Minngs" w:hAnsi="Verdana" w:cs="Calibri"/>
        </w:rPr>
        <w:t>Al finanziamento della spesa di cui alla presente lettera a) si provvede, con imputazione ai pertinenti capitoli del bilancio corrente</w:t>
      </w:r>
      <w:r w:rsidR="00571E42">
        <w:rPr>
          <w:rFonts w:ascii="Verdana" w:eastAsia="MS Minngs" w:hAnsi="Verdana" w:cs="Calibri"/>
        </w:rPr>
        <w:t>:</w:t>
      </w:r>
      <w:r w:rsidRPr="00E56127">
        <w:rPr>
          <w:rFonts w:ascii="Verdana" w:eastAsia="MS Minngs" w:hAnsi="Verdana" w:cs="Calibri"/>
        </w:rPr>
        <w:t xml:space="preserve"> </w:t>
      </w:r>
      <w:r w:rsidR="001B4386" w:rsidRPr="00E56127">
        <w:rPr>
          <w:rFonts w:ascii="Verdana" w:eastAsia="MS Minngs" w:hAnsi="Verdana" w:cs="Calibri"/>
        </w:rPr>
        <w:t xml:space="preserve">sul capitolo 1315 </w:t>
      </w:r>
      <w:r w:rsidRPr="00E56127">
        <w:rPr>
          <w:rFonts w:ascii="Verdana" w:eastAsia="MS Minngs" w:hAnsi="Verdana" w:cs="Cambria"/>
        </w:rPr>
        <w:t>“Oneri per ritardati pagamenti. Quota interessi”</w:t>
      </w:r>
      <w:r w:rsidRPr="00E56127">
        <w:rPr>
          <w:rFonts w:ascii="Verdana" w:eastAsia="MS Minngs" w:hAnsi="Verdana" w:cs="Calibri"/>
        </w:rPr>
        <w:t xml:space="preserve"> bilancio 2017, m</w:t>
      </w:r>
      <w:r w:rsidR="001B4386" w:rsidRPr="00E56127">
        <w:rPr>
          <w:rFonts w:ascii="Verdana" w:eastAsia="MS Minngs" w:hAnsi="Verdana" w:cs="Cambria"/>
        </w:rPr>
        <w:t xml:space="preserve">issione 1, </w:t>
      </w:r>
      <w:r w:rsidRPr="00E56127">
        <w:rPr>
          <w:rFonts w:ascii="Verdana" w:eastAsia="MS Minngs" w:hAnsi="Verdana" w:cs="Cambria"/>
        </w:rPr>
        <w:t>programma 11, titolo 1 per l’importo di euro 16.232,31; sul capitolo 1317 “Oneri per ritardati pagamenti. Spese procedimentali e legali” bilancio 2017, missione 1, programma 11, titolo 1 p</w:t>
      </w:r>
      <w:r w:rsidR="00571E42">
        <w:rPr>
          <w:rFonts w:ascii="Verdana" w:eastAsia="MS Minngs" w:hAnsi="Verdana" w:cs="Cambria"/>
        </w:rPr>
        <w:t>er l’importo di euro 33.517,89;</w:t>
      </w:r>
      <w:r w:rsidRPr="00E56127">
        <w:rPr>
          <w:rFonts w:ascii="Verdana" w:eastAsia="MS Minngs" w:hAnsi="Verdana" w:cs="Cambria"/>
        </w:rPr>
        <w:t>(</w:t>
      </w:r>
      <w:r w:rsidRPr="00E56127">
        <w:rPr>
          <w:rFonts w:ascii="Verdana" w:eastAsia="MS Minngs" w:hAnsi="Verdana" w:cs="Cambria"/>
          <w:color w:val="FF0000"/>
        </w:rPr>
        <w:t>DDL 186/2016)</w:t>
      </w:r>
    </w:p>
    <w:p w:rsidR="00414793" w:rsidRPr="00E56127" w:rsidRDefault="00571E42" w:rsidP="001B4386">
      <w:pPr>
        <w:numPr>
          <w:ilvl w:val="0"/>
          <w:numId w:val="17"/>
        </w:numPr>
        <w:ind w:left="993" w:right="-7" w:hanging="426"/>
        <w:contextualSpacing/>
        <w:jc w:val="both"/>
        <w:rPr>
          <w:rFonts w:ascii="Verdana" w:eastAsia="MS Minngs" w:hAnsi="Verdana" w:cs="Tahoma"/>
          <w:color w:val="FF0000"/>
        </w:rPr>
      </w:pPr>
      <w:r>
        <w:rPr>
          <w:rFonts w:ascii="Verdana" w:eastAsia="MS Minngs" w:hAnsi="Verdana" w:cs="Tahoma"/>
        </w:rPr>
        <w:t>il debito fuori bilancio</w:t>
      </w:r>
      <w:r w:rsidR="001B4386" w:rsidRPr="00E56127">
        <w:rPr>
          <w:rFonts w:ascii="Verdana" w:eastAsia="MS Minngs" w:hAnsi="Verdana" w:cs="Tahoma"/>
        </w:rPr>
        <w:t>,</w:t>
      </w:r>
      <w:r w:rsidR="00C35E90" w:rsidRPr="00C35E90">
        <w:rPr>
          <w:rFonts w:ascii="Verdana" w:eastAsia="MS Minngs" w:hAnsi="Verdana" w:cs="Tahoma"/>
        </w:rPr>
        <w:t xml:space="preserve"> </w:t>
      </w:r>
      <w:r w:rsidR="00C35E90" w:rsidRPr="00E56127">
        <w:rPr>
          <w:rFonts w:ascii="Verdana" w:eastAsia="MS Minngs" w:hAnsi="Verdana" w:cs="Tahoma"/>
        </w:rPr>
        <w:t>ai sensi dell’articolo 73, comma 1, lettera a) del decreto legislativo 118/2011</w:t>
      </w:r>
      <w:r w:rsidR="00C35E90">
        <w:rPr>
          <w:rFonts w:ascii="Verdana" w:eastAsia="MS Minngs" w:hAnsi="Verdana" w:cs="Tahoma"/>
        </w:rPr>
        <w:t>,</w:t>
      </w:r>
      <w:r w:rsidR="00B56D72">
        <w:rPr>
          <w:rFonts w:ascii="Verdana" w:eastAsia="MS Minngs" w:hAnsi="Verdana" w:cs="Tahoma"/>
        </w:rPr>
        <w:t xml:space="preserve"> derivante dalla s</w:t>
      </w:r>
      <w:r w:rsidR="00414793" w:rsidRPr="00E56127">
        <w:rPr>
          <w:rFonts w:ascii="Verdana" w:eastAsia="MS Minngs" w:hAnsi="Verdana" w:cs="Tahoma"/>
        </w:rPr>
        <w:t xml:space="preserve">entenza </w:t>
      </w:r>
      <w:r w:rsidR="00414793" w:rsidRPr="00E56127">
        <w:rPr>
          <w:rFonts w:ascii="Verdana" w:eastAsia="MS Minngs" w:hAnsi="Verdana" w:cs="Tahoma"/>
          <w:color w:val="000000"/>
        </w:rPr>
        <w:t xml:space="preserve">n. 12810/2007 della Corte Suprema </w:t>
      </w:r>
      <w:r w:rsidR="001B4386" w:rsidRPr="00E56127">
        <w:rPr>
          <w:rFonts w:ascii="Verdana" w:eastAsia="MS Minngs" w:hAnsi="Verdana" w:cs="Tahoma"/>
          <w:color w:val="000000"/>
        </w:rPr>
        <w:t>di Cassazione dell’8 marzo 2007</w:t>
      </w:r>
      <w:r w:rsidR="00414793" w:rsidRPr="00E56127">
        <w:rPr>
          <w:rFonts w:ascii="Verdana" w:eastAsia="MS Minngs" w:hAnsi="Verdana" w:cs="Tahoma"/>
          <w:b/>
        </w:rPr>
        <w:t xml:space="preserve"> </w:t>
      </w:r>
      <w:r w:rsidR="00414793" w:rsidRPr="00E56127">
        <w:rPr>
          <w:rFonts w:ascii="Verdana" w:eastAsia="MS Minngs" w:hAnsi="Verdana" w:cs="Tahoma"/>
        </w:rPr>
        <w:t xml:space="preserve">dell’importo complessivo di euro </w:t>
      </w:r>
      <w:r w:rsidR="00414793" w:rsidRPr="00E56127">
        <w:rPr>
          <w:rFonts w:ascii="Verdana" w:hAnsi="Verdana" w:cs="Tahoma"/>
          <w:color w:val="000000"/>
        </w:rPr>
        <w:t>1.900,00</w:t>
      </w:r>
      <w:r w:rsidR="001B4386" w:rsidRPr="00E56127">
        <w:rPr>
          <w:rFonts w:ascii="Verdana" w:hAnsi="Verdana" w:cs="Tahoma"/>
          <w:color w:val="000000"/>
        </w:rPr>
        <w:t>.</w:t>
      </w:r>
      <w:r w:rsidR="001B4386" w:rsidRPr="00E56127">
        <w:rPr>
          <w:rFonts w:ascii="Verdana" w:eastAsia="MS Minngs" w:hAnsi="Verdana" w:cs="Tahoma"/>
        </w:rPr>
        <w:t xml:space="preserve"> </w:t>
      </w:r>
      <w:r w:rsidR="00414793" w:rsidRPr="00E56127">
        <w:rPr>
          <w:rFonts w:ascii="Verdana" w:eastAsia="MS Minngs" w:hAnsi="Verdana" w:cs="Tahoma"/>
        </w:rPr>
        <w:t>Al finanziamento della spesa di cui al</w:t>
      </w:r>
      <w:r w:rsidR="00B56D72">
        <w:rPr>
          <w:rFonts w:ascii="Verdana" w:eastAsia="MS Minngs" w:hAnsi="Verdana" w:cs="Tahoma"/>
        </w:rPr>
        <w:t>l</w:t>
      </w:r>
      <w:r w:rsidR="00414793" w:rsidRPr="00E56127">
        <w:rPr>
          <w:rFonts w:ascii="Verdana" w:eastAsia="MS Minngs" w:hAnsi="Verdana" w:cs="Tahoma"/>
        </w:rPr>
        <w:t xml:space="preserve">a presente lettera b) si provvede mediante imputazione al </w:t>
      </w:r>
      <w:r w:rsidR="001B4386" w:rsidRPr="00E56127">
        <w:rPr>
          <w:rFonts w:ascii="Verdana" w:eastAsia="MS Minngs" w:hAnsi="Verdana" w:cs="Tahoma"/>
        </w:rPr>
        <w:t xml:space="preserve">bilancio del corrente esercizio sul capitolo 1317 “Oneri per ritardati pagamenti. Spese procedimentali e legali” </w:t>
      </w:r>
      <w:r w:rsidR="00B56D72" w:rsidRPr="00E56127">
        <w:rPr>
          <w:rFonts w:ascii="Verdana" w:eastAsia="MS Minngs" w:hAnsi="Verdana" w:cs="Tahoma"/>
        </w:rPr>
        <w:t xml:space="preserve">missione 1, programma 11, titolo 1, </w:t>
      </w:r>
      <w:r w:rsidR="00414793" w:rsidRPr="00E56127">
        <w:rPr>
          <w:rFonts w:ascii="Verdana" w:eastAsia="MS Minngs" w:hAnsi="Verdana" w:cs="Tahoma"/>
        </w:rPr>
        <w:t>per le spese legali e proced</w:t>
      </w:r>
      <w:r w:rsidR="001B4386" w:rsidRPr="00E56127">
        <w:rPr>
          <w:rFonts w:ascii="Verdana" w:eastAsia="MS Minngs" w:hAnsi="Verdana" w:cs="Tahoma"/>
        </w:rPr>
        <w:t xml:space="preserve">imentali, </w:t>
      </w:r>
      <w:r w:rsidR="00414793" w:rsidRPr="00E56127">
        <w:rPr>
          <w:rFonts w:ascii="Verdana" w:eastAsia="MS Minngs" w:hAnsi="Verdana" w:cs="Tahoma"/>
        </w:rPr>
        <w:t>pari ad euro 1.900,00. (</w:t>
      </w:r>
      <w:r w:rsidR="001B4386" w:rsidRPr="00E56127">
        <w:rPr>
          <w:rFonts w:ascii="Verdana" w:eastAsia="MS Minngs" w:hAnsi="Verdana" w:cs="Tahoma"/>
          <w:color w:val="FF0000"/>
        </w:rPr>
        <w:t xml:space="preserve">DDL </w:t>
      </w:r>
      <w:r w:rsidR="00414793" w:rsidRPr="00E56127">
        <w:rPr>
          <w:rFonts w:ascii="Verdana" w:eastAsia="MS Minngs" w:hAnsi="Verdana" w:cs="Tahoma"/>
          <w:color w:val="FF0000"/>
        </w:rPr>
        <w:t>68/2017)</w:t>
      </w:r>
    </w:p>
    <w:p w:rsidR="00D9729E" w:rsidRPr="00E56127" w:rsidRDefault="00D9729E" w:rsidP="00D8477F">
      <w:pPr>
        <w:tabs>
          <w:tab w:val="left" w:pos="993"/>
        </w:tabs>
        <w:spacing w:after="160"/>
        <w:jc w:val="center"/>
        <w:rPr>
          <w:rFonts w:ascii="Verdana" w:hAnsi="Verdana" w:cs="Tahoma"/>
        </w:rPr>
      </w:pPr>
    </w:p>
    <w:bookmarkEnd w:id="0"/>
    <w:p w:rsidR="00D9729E" w:rsidRPr="00E56127" w:rsidRDefault="00D9729E" w:rsidP="00D8477F">
      <w:pPr>
        <w:tabs>
          <w:tab w:val="left" w:pos="993"/>
        </w:tabs>
        <w:spacing w:after="160"/>
        <w:jc w:val="center"/>
        <w:rPr>
          <w:rFonts w:ascii="Verdana" w:hAnsi="Verdana" w:cs="Tahoma"/>
        </w:rPr>
      </w:pPr>
    </w:p>
    <w:sectPr w:rsidR="00D9729E" w:rsidRPr="00E56127" w:rsidSect="00D9729E">
      <w:footerReference w:type="default" r:id="rId9"/>
      <w:pgSz w:w="11906" w:h="16838"/>
      <w:pgMar w:top="453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4A" w:rsidRDefault="00C9524A">
      <w:r>
        <w:separator/>
      </w:r>
    </w:p>
  </w:endnote>
  <w:endnote w:type="continuationSeparator" w:id="0">
    <w:p w:rsidR="00C9524A" w:rsidRDefault="00C9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681235"/>
      <w:docPartObj>
        <w:docPartGallery w:val="Page Numbers (Bottom of Page)"/>
        <w:docPartUnique/>
      </w:docPartObj>
    </w:sdtPr>
    <w:sdtEndPr/>
    <w:sdtContent>
      <w:p w:rsidR="00A14780" w:rsidRDefault="00AC11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4A">
          <w:rPr>
            <w:noProof/>
          </w:rPr>
          <w:t>1</w:t>
        </w:r>
        <w:r>
          <w:fldChar w:fldCharType="end"/>
        </w:r>
      </w:p>
    </w:sdtContent>
  </w:sdt>
  <w:p w:rsidR="00A14780" w:rsidRDefault="00C952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4A" w:rsidRDefault="00C9524A">
      <w:r>
        <w:separator/>
      </w:r>
    </w:p>
  </w:footnote>
  <w:footnote w:type="continuationSeparator" w:id="0">
    <w:p w:rsidR="00C9524A" w:rsidRDefault="00C9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389"/>
    <w:multiLevelType w:val="hybridMultilevel"/>
    <w:tmpl w:val="C04C94A8"/>
    <w:lvl w:ilvl="0" w:tplc="9D00AB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EFA"/>
    <w:multiLevelType w:val="hybridMultilevel"/>
    <w:tmpl w:val="F0B616EA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7E050F9"/>
    <w:multiLevelType w:val="hybridMultilevel"/>
    <w:tmpl w:val="4FC49D38"/>
    <w:lvl w:ilvl="0" w:tplc="04100017">
      <w:start w:val="1"/>
      <w:numFmt w:val="lowerLetter"/>
      <w:lvlText w:val="%1)"/>
      <w:lvlJc w:val="left"/>
      <w:pPr>
        <w:ind w:left="1431" w:hanging="360"/>
      </w:pPr>
    </w:lvl>
    <w:lvl w:ilvl="1" w:tplc="04100019" w:tentative="1">
      <w:start w:val="1"/>
      <w:numFmt w:val="lowerLetter"/>
      <w:lvlText w:val="%2."/>
      <w:lvlJc w:val="left"/>
      <w:pPr>
        <w:ind w:left="2151" w:hanging="360"/>
      </w:pPr>
    </w:lvl>
    <w:lvl w:ilvl="2" w:tplc="0410001B" w:tentative="1">
      <w:start w:val="1"/>
      <w:numFmt w:val="lowerRoman"/>
      <w:lvlText w:val="%3."/>
      <w:lvlJc w:val="right"/>
      <w:pPr>
        <w:ind w:left="2871" w:hanging="180"/>
      </w:pPr>
    </w:lvl>
    <w:lvl w:ilvl="3" w:tplc="0410000F" w:tentative="1">
      <w:start w:val="1"/>
      <w:numFmt w:val="decimal"/>
      <w:lvlText w:val="%4."/>
      <w:lvlJc w:val="left"/>
      <w:pPr>
        <w:ind w:left="3591" w:hanging="360"/>
      </w:pPr>
    </w:lvl>
    <w:lvl w:ilvl="4" w:tplc="04100019" w:tentative="1">
      <w:start w:val="1"/>
      <w:numFmt w:val="lowerLetter"/>
      <w:lvlText w:val="%5."/>
      <w:lvlJc w:val="left"/>
      <w:pPr>
        <w:ind w:left="4311" w:hanging="360"/>
      </w:pPr>
    </w:lvl>
    <w:lvl w:ilvl="5" w:tplc="0410001B" w:tentative="1">
      <w:start w:val="1"/>
      <w:numFmt w:val="lowerRoman"/>
      <w:lvlText w:val="%6."/>
      <w:lvlJc w:val="right"/>
      <w:pPr>
        <w:ind w:left="5031" w:hanging="180"/>
      </w:pPr>
    </w:lvl>
    <w:lvl w:ilvl="6" w:tplc="0410000F" w:tentative="1">
      <w:start w:val="1"/>
      <w:numFmt w:val="decimal"/>
      <w:lvlText w:val="%7."/>
      <w:lvlJc w:val="left"/>
      <w:pPr>
        <w:ind w:left="5751" w:hanging="360"/>
      </w:pPr>
    </w:lvl>
    <w:lvl w:ilvl="7" w:tplc="04100019" w:tentative="1">
      <w:start w:val="1"/>
      <w:numFmt w:val="lowerLetter"/>
      <w:lvlText w:val="%8."/>
      <w:lvlJc w:val="left"/>
      <w:pPr>
        <w:ind w:left="6471" w:hanging="360"/>
      </w:pPr>
    </w:lvl>
    <w:lvl w:ilvl="8" w:tplc="041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16527F39"/>
    <w:multiLevelType w:val="hybridMultilevel"/>
    <w:tmpl w:val="0A301836"/>
    <w:lvl w:ilvl="0" w:tplc="04100017">
      <w:start w:val="1"/>
      <w:numFmt w:val="lowerLetter"/>
      <w:lvlText w:val="%1)"/>
      <w:lvlJc w:val="left"/>
      <w:pPr>
        <w:ind w:left="1930" w:hanging="360"/>
      </w:pPr>
    </w:lvl>
    <w:lvl w:ilvl="1" w:tplc="04100019" w:tentative="1">
      <w:start w:val="1"/>
      <w:numFmt w:val="lowerLetter"/>
      <w:lvlText w:val="%2."/>
      <w:lvlJc w:val="left"/>
      <w:pPr>
        <w:ind w:left="2650" w:hanging="360"/>
      </w:pPr>
    </w:lvl>
    <w:lvl w:ilvl="2" w:tplc="0410001B" w:tentative="1">
      <w:start w:val="1"/>
      <w:numFmt w:val="lowerRoman"/>
      <w:lvlText w:val="%3."/>
      <w:lvlJc w:val="right"/>
      <w:pPr>
        <w:ind w:left="3370" w:hanging="180"/>
      </w:pPr>
    </w:lvl>
    <w:lvl w:ilvl="3" w:tplc="0410000F" w:tentative="1">
      <w:start w:val="1"/>
      <w:numFmt w:val="decimal"/>
      <w:lvlText w:val="%4."/>
      <w:lvlJc w:val="left"/>
      <w:pPr>
        <w:ind w:left="4090" w:hanging="360"/>
      </w:pPr>
    </w:lvl>
    <w:lvl w:ilvl="4" w:tplc="04100019" w:tentative="1">
      <w:start w:val="1"/>
      <w:numFmt w:val="lowerLetter"/>
      <w:lvlText w:val="%5."/>
      <w:lvlJc w:val="left"/>
      <w:pPr>
        <w:ind w:left="4810" w:hanging="360"/>
      </w:pPr>
    </w:lvl>
    <w:lvl w:ilvl="5" w:tplc="0410001B" w:tentative="1">
      <w:start w:val="1"/>
      <w:numFmt w:val="lowerRoman"/>
      <w:lvlText w:val="%6."/>
      <w:lvlJc w:val="right"/>
      <w:pPr>
        <w:ind w:left="5530" w:hanging="180"/>
      </w:pPr>
    </w:lvl>
    <w:lvl w:ilvl="6" w:tplc="0410000F" w:tentative="1">
      <w:start w:val="1"/>
      <w:numFmt w:val="decimal"/>
      <w:lvlText w:val="%7."/>
      <w:lvlJc w:val="left"/>
      <w:pPr>
        <w:ind w:left="6250" w:hanging="360"/>
      </w:pPr>
    </w:lvl>
    <w:lvl w:ilvl="7" w:tplc="04100019" w:tentative="1">
      <w:start w:val="1"/>
      <w:numFmt w:val="lowerLetter"/>
      <w:lvlText w:val="%8."/>
      <w:lvlJc w:val="left"/>
      <w:pPr>
        <w:ind w:left="6970" w:hanging="360"/>
      </w:pPr>
    </w:lvl>
    <w:lvl w:ilvl="8" w:tplc="0410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">
    <w:nsid w:val="215E3C7F"/>
    <w:multiLevelType w:val="hybridMultilevel"/>
    <w:tmpl w:val="AE240B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7DF4"/>
    <w:multiLevelType w:val="hybridMultilevel"/>
    <w:tmpl w:val="BFA00BEA"/>
    <w:lvl w:ilvl="0" w:tplc="A6241D08">
      <w:start w:val="9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2103"/>
    <w:multiLevelType w:val="hybridMultilevel"/>
    <w:tmpl w:val="6BE4A7F2"/>
    <w:lvl w:ilvl="0" w:tplc="698A4FC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ahoma" w:hint="default"/>
        <w:color w:val="auto"/>
        <w:sz w:val="24"/>
        <w:szCs w:val="24"/>
      </w:rPr>
    </w:lvl>
    <w:lvl w:ilvl="1" w:tplc="1A9AD4CA">
      <w:start w:val="1"/>
      <w:numFmt w:val="decimal"/>
      <w:lvlText w:val="%2)"/>
      <w:lvlJc w:val="left"/>
      <w:pPr>
        <w:ind w:left="1480" w:hanging="4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23F9"/>
    <w:multiLevelType w:val="hybridMultilevel"/>
    <w:tmpl w:val="6000552E"/>
    <w:lvl w:ilvl="0" w:tplc="04100017">
      <w:start w:val="1"/>
      <w:numFmt w:val="lowerLetter"/>
      <w:lvlText w:val="%1)"/>
      <w:lvlJc w:val="left"/>
      <w:pPr>
        <w:ind w:left="803" w:hanging="360"/>
      </w:pPr>
    </w:lvl>
    <w:lvl w:ilvl="1" w:tplc="04100019" w:tentative="1">
      <w:start w:val="1"/>
      <w:numFmt w:val="lowerLetter"/>
      <w:lvlText w:val="%2."/>
      <w:lvlJc w:val="left"/>
      <w:pPr>
        <w:ind w:left="1523" w:hanging="360"/>
      </w:pPr>
    </w:lvl>
    <w:lvl w:ilvl="2" w:tplc="0410001B" w:tentative="1">
      <w:start w:val="1"/>
      <w:numFmt w:val="lowerRoman"/>
      <w:lvlText w:val="%3."/>
      <w:lvlJc w:val="right"/>
      <w:pPr>
        <w:ind w:left="2243" w:hanging="180"/>
      </w:pPr>
    </w:lvl>
    <w:lvl w:ilvl="3" w:tplc="0410000F" w:tentative="1">
      <w:start w:val="1"/>
      <w:numFmt w:val="decimal"/>
      <w:lvlText w:val="%4."/>
      <w:lvlJc w:val="left"/>
      <w:pPr>
        <w:ind w:left="2963" w:hanging="360"/>
      </w:pPr>
    </w:lvl>
    <w:lvl w:ilvl="4" w:tplc="04100019" w:tentative="1">
      <w:start w:val="1"/>
      <w:numFmt w:val="lowerLetter"/>
      <w:lvlText w:val="%5."/>
      <w:lvlJc w:val="left"/>
      <w:pPr>
        <w:ind w:left="3683" w:hanging="360"/>
      </w:pPr>
    </w:lvl>
    <w:lvl w:ilvl="5" w:tplc="0410001B" w:tentative="1">
      <w:start w:val="1"/>
      <w:numFmt w:val="lowerRoman"/>
      <w:lvlText w:val="%6."/>
      <w:lvlJc w:val="right"/>
      <w:pPr>
        <w:ind w:left="4403" w:hanging="180"/>
      </w:pPr>
    </w:lvl>
    <w:lvl w:ilvl="6" w:tplc="0410000F" w:tentative="1">
      <w:start w:val="1"/>
      <w:numFmt w:val="decimal"/>
      <w:lvlText w:val="%7."/>
      <w:lvlJc w:val="left"/>
      <w:pPr>
        <w:ind w:left="5123" w:hanging="360"/>
      </w:pPr>
    </w:lvl>
    <w:lvl w:ilvl="7" w:tplc="04100019" w:tentative="1">
      <w:start w:val="1"/>
      <w:numFmt w:val="lowerLetter"/>
      <w:lvlText w:val="%8."/>
      <w:lvlJc w:val="left"/>
      <w:pPr>
        <w:ind w:left="5843" w:hanging="360"/>
      </w:pPr>
    </w:lvl>
    <w:lvl w:ilvl="8" w:tplc="0410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8">
    <w:nsid w:val="484E2A2E"/>
    <w:multiLevelType w:val="hybridMultilevel"/>
    <w:tmpl w:val="22081266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475AD5F6">
      <w:numFmt w:val="bullet"/>
      <w:lvlText w:val="-"/>
      <w:lvlJc w:val="left"/>
      <w:pPr>
        <w:ind w:left="2716" w:hanging="360"/>
      </w:pPr>
      <w:rPr>
        <w:rFonts w:ascii="Verdana" w:eastAsia="Calibri" w:hAnsi="Verdan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49A206BA"/>
    <w:multiLevelType w:val="hybridMultilevel"/>
    <w:tmpl w:val="8F3469C2"/>
    <w:lvl w:ilvl="0" w:tplc="04100017">
      <w:start w:val="1"/>
      <w:numFmt w:val="lowerLetter"/>
      <w:lvlText w:val="%1)"/>
      <w:lvlJc w:val="left"/>
      <w:pPr>
        <w:ind w:left="2288" w:hanging="360"/>
      </w:pPr>
    </w:lvl>
    <w:lvl w:ilvl="1" w:tplc="04100019" w:tentative="1">
      <w:start w:val="1"/>
      <w:numFmt w:val="lowerLetter"/>
      <w:lvlText w:val="%2."/>
      <w:lvlJc w:val="left"/>
      <w:pPr>
        <w:ind w:left="3008" w:hanging="360"/>
      </w:pPr>
    </w:lvl>
    <w:lvl w:ilvl="2" w:tplc="0410001B" w:tentative="1">
      <w:start w:val="1"/>
      <w:numFmt w:val="lowerRoman"/>
      <w:lvlText w:val="%3."/>
      <w:lvlJc w:val="right"/>
      <w:pPr>
        <w:ind w:left="3728" w:hanging="180"/>
      </w:pPr>
    </w:lvl>
    <w:lvl w:ilvl="3" w:tplc="0410000F" w:tentative="1">
      <w:start w:val="1"/>
      <w:numFmt w:val="decimal"/>
      <w:lvlText w:val="%4."/>
      <w:lvlJc w:val="left"/>
      <w:pPr>
        <w:ind w:left="4448" w:hanging="360"/>
      </w:pPr>
    </w:lvl>
    <w:lvl w:ilvl="4" w:tplc="04100019" w:tentative="1">
      <w:start w:val="1"/>
      <w:numFmt w:val="lowerLetter"/>
      <w:lvlText w:val="%5."/>
      <w:lvlJc w:val="left"/>
      <w:pPr>
        <w:ind w:left="5168" w:hanging="360"/>
      </w:pPr>
    </w:lvl>
    <w:lvl w:ilvl="5" w:tplc="0410001B" w:tentative="1">
      <w:start w:val="1"/>
      <w:numFmt w:val="lowerRoman"/>
      <w:lvlText w:val="%6."/>
      <w:lvlJc w:val="right"/>
      <w:pPr>
        <w:ind w:left="5888" w:hanging="180"/>
      </w:pPr>
    </w:lvl>
    <w:lvl w:ilvl="6" w:tplc="0410000F" w:tentative="1">
      <w:start w:val="1"/>
      <w:numFmt w:val="decimal"/>
      <w:lvlText w:val="%7."/>
      <w:lvlJc w:val="left"/>
      <w:pPr>
        <w:ind w:left="6608" w:hanging="360"/>
      </w:pPr>
    </w:lvl>
    <w:lvl w:ilvl="7" w:tplc="04100019" w:tentative="1">
      <w:start w:val="1"/>
      <w:numFmt w:val="lowerLetter"/>
      <w:lvlText w:val="%8."/>
      <w:lvlJc w:val="left"/>
      <w:pPr>
        <w:ind w:left="7328" w:hanging="360"/>
      </w:pPr>
    </w:lvl>
    <w:lvl w:ilvl="8" w:tplc="0410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0">
    <w:nsid w:val="4DA20781"/>
    <w:multiLevelType w:val="hybridMultilevel"/>
    <w:tmpl w:val="296A3414"/>
    <w:lvl w:ilvl="0" w:tplc="6BA40866">
      <w:start w:val="1"/>
      <w:numFmt w:val="decimal"/>
      <w:lvlText w:val="%1."/>
      <w:lvlJc w:val="left"/>
      <w:pPr>
        <w:ind w:left="1854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0293FD2"/>
    <w:multiLevelType w:val="hybridMultilevel"/>
    <w:tmpl w:val="50C88AA4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6530207A"/>
    <w:multiLevelType w:val="hybridMultilevel"/>
    <w:tmpl w:val="63842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629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3F0"/>
    <w:multiLevelType w:val="hybridMultilevel"/>
    <w:tmpl w:val="759A271C"/>
    <w:lvl w:ilvl="0" w:tplc="D562C232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A3534"/>
    <w:multiLevelType w:val="hybridMultilevel"/>
    <w:tmpl w:val="ADE25F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925E0"/>
    <w:multiLevelType w:val="hybridMultilevel"/>
    <w:tmpl w:val="966C43BA"/>
    <w:lvl w:ilvl="0" w:tplc="9D3A551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0C7F55"/>
    <w:multiLevelType w:val="hybridMultilevel"/>
    <w:tmpl w:val="B832DF68"/>
    <w:lvl w:ilvl="0" w:tplc="4D425E16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6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F4"/>
    <w:rsid w:val="00001817"/>
    <w:rsid w:val="00006471"/>
    <w:rsid w:val="00015821"/>
    <w:rsid w:val="0001678B"/>
    <w:rsid w:val="000263D6"/>
    <w:rsid w:val="000302E1"/>
    <w:rsid w:val="000365D6"/>
    <w:rsid w:val="0003680A"/>
    <w:rsid w:val="00042DC3"/>
    <w:rsid w:val="0004458E"/>
    <w:rsid w:val="00056A68"/>
    <w:rsid w:val="00056BE0"/>
    <w:rsid w:val="00060417"/>
    <w:rsid w:val="00066E9C"/>
    <w:rsid w:val="00080094"/>
    <w:rsid w:val="000A47F4"/>
    <w:rsid w:val="000C295E"/>
    <w:rsid w:val="000C5C77"/>
    <w:rsid w:val="000E5D31"/>
    <w:rsid w:val="001202B5"/>
    <w:rsid w:val="00122811"/>
    <w:rsid w:val="00123FD9"/>
    <w:rsid w:val="00124474"/>
    <w:rsid w:val="00124A6B"/>
    <w:rsid w:val="00125813"/>
    <w:rsid w:val="001518B1"/>
    <w:rsid w:val="00160CDA"/>
    <w:rsid w:val="00162E48"/>
    <w:rsid w:val="0017669D"/>
    <w:rsid w:val="00185E6F"/>
    <w:rsid w:val="001A4D93"/>
    <w:rsid w:val="001B4386"/>
    <w:rsid w:val="001B5AB5"/>
    <w:rsid w:val="001B68D1"/>
    <w:rsid w:val="001C0FE3"/>
    <w:rsid w:val="001D0992"/>
    <w:rsid w:val="001D596C"/>
    <w:rsid w:val="001D59C9"/>
    <w:rsid w:val="001E0ED2"/>
    <w:rsid w:val="001E7924"/>
    <w:rsid w:val="00206F0A"/>
    <w:rsid w:val="0021527E"/>
    <w:rsid w:val="00221A4F"/>
    <w:rsid w:val="002446C5"/>
    <w:rsid w:val="00247DFA"/>
    <w:rsid w:val="002673D5"/>
    <w:rsid w:val="00297E84"/>
    <w:rsid w:val="002B0683"/>
    <w:rsid w:val="002B1406"/>
    <w:rsid w:val="002B3EFB"/>
    <w:rsid w:val="002B45DF"/>
    <w:rsid w:val="002B690B"/>
    <w:rsid w:val="002E588A"/>
    <w:rsid w:val="00303879"/>
    <w:rsid w:val="00304A24"/>
    <w:rsid w:val="0031316E"/>
    <w:rsid w:val="00330E00"/>
    <w:rsid w:val="00351CD1"/>
    <w:rsid w:val="00353842"/>
    <w:rsid w:val="00365C50"/>
    <w:rsid w:val="003756CC"/>
    <w:rsid w:val="00377E4D"/>
    <w:rsid w:val="003A20A3"/>
    <w:rsid w:val="003B2336"/>
    <w:rsid w:val="003C18DF"/>
    <w:rsid w:val="003C2AB8"/>
    <w:rsid w:val="003C4294"/>
    <w:rsid w:val="003E2EBF"/>
    <w:rsid w:val="003F1D3A"/>
    <w:rsid w:val="00414793"/>
    <w:rsid w:val="004702DC"/>
    <w:rsid w:val="00474F8A"/>
    <w:rsid w:val="00477AA1"/>
    <w:rsid w:val="004944C0"/>
    <w:rsid w:val="004A6D6A"/>
    <w:rsid w:val="004B0EBA"/>
    <w:rsid w:val="004C5E79"/>
    <w:rsid w:val="004E2EAA"/>
    <w:rsid w:val="005139D9"/>
    <w:rsid w:val="00527885"/>
    <w:rsid w:val="00543ECF"/>
    <w:rsid w:val="00547F8F"/>
    <w:rsid w:val="00557E42"/>
    <w:rsid w:val="00571BD3"/>
    <w:rsid w:val="00571E42"/>
    <w:rsid w:val="005721C6"/>
    <w:rsid w:val="0057610F"/>
    <w:rsid w:val="0058502A"/>
    <w:rsid w:val="005A142C"/>
    <w:rsid w:val="005A26AC"/>
    <w:rsid w:val="005A5AB8"/>
    <w:rsid w:val="005B70AC"/>
    <w:rsid w:val="005C4B53"/>
    <w:rsid w:val="005D4383"/>
    <w:rsid w:val="005D52A0"/>
    <w:rsid w:val="005E6834"/>
    <w:rsid w:val="005F3789"/>
    <w:rsid w:val="005F6160"/>
    <w:rsid w:val="006031EA"/>
    <w:rsid w:val="0061413C"/>
    <w:rsid w:val="006141E4"/>
    <w:rsid w:val="00632CC7"/>
    <w:rsid w:val="00645A5D"/>
    <w:rsid w:val="006A56CD"/>
    <w:rsid w:val="006C1E28"/>
    <w:rsid w:val="006C6340"/>
    <w:rsid w:val="006E6340"/>
    <w:rsid w:val="006F15CE"/>
    <w:rsid w:val="006F6970"/>
    <w:rsid w:val="00703666"/>
    <w:rsid w:val="007123AC"/>
    <w:rsid w:val="00722159"/>
    <w:rsid w:val="00732978"/>
    <w:rsid w:val="00754550"/>
    <w:rsid w:val="00757A32"/>
    <w:rsid w:val="00761E99"/>
    <w:rsid w:val="00765287"/>
    <w:rsid w:val="007A3077"/>
    <w:rsid w:val="007B0467"/>
    <w:rsid w:val="007C4F20"/>
    <w:rsid w:val="007D73D1"/>
    <w:rsid w:val="007E01E8"/>
    <w:rsid w:val="007E1F03"/>
    <w:rsid w:val="007F2CB3"/>
    <w:rsid w:val="00810183"/>
    <w:rsid w:val="0083321A"/>
    <w:rsid w:val="00853045"/>
    <w:rsid w:val="008868C6"/>
    <w:rsid w:val="00887482"/>
    <w:rsid w:val="008A7CB9"/>
    <w:rsid w:val="008B61EB"/>
    <w:rsid w:val="008C22AF"/>
    <w:rsid w:val="008D1D05"/>
    <w:rsid w:val="008D254D"/>
    <w:rsid w:val="008F283C"/>
    <w:rsid w:val="00910778"/>
    <w:rsid w:val="00930F89"/>
    <w:rsid w:val="00945BA4"/>
    <w:rsid w:val="0095549F"/>
    <w:rsid w:val="009673C8"/>
    <w:rsid w:val="00976E3F"/>
    <w:rsid w:val="00985DE6"/>
    <w:rsid w:val="0098719A"/>
    <w:rsid w:val="00996646"/>
    <w:rsid w:val="009B3223"/>
    <w:rsid w:val="009C6153"/>
    <w:rsid w:val="009D0515"/>
    <w:rsid w:val="009F7A25"/>
    <w:rsid w:val="00A212DE"/>
    <w:rsid w:val="00A2548C"/>
    <w:rsid w:val="00A31A72"/>
    <w:rsid w:val="00A4495C"/>
    <w:rsid w:val="00A85D7E"/>
    <w:rsid w:val="00A9788D"/>
    <w:rsid w:val="00AC1156"/>
    <w:rsid w:val="00AC144A"/>
    <w:rsid w:val="00AD65EC"/>
    <w:rsid w:val="00AE015A"/>
    <w:rsid w:val="00AF07CE"/>
    <w:rsid w:val="00B1753F"/>
    <w:rsid w:val="00B17B7C"/>
    <w:rsid w:val="00B220F4"/>
    <w:rsid w:val="00B25FAB"/>
    <w:rsid w:val="00B41BD9"/>
    <w:rsid w:val="00B43506"/>
    <w:rsid w:val="00B56D72"/>
    <w:rsid w:val="00B65ADD"/>
    <w:rsid w:val="00B75A54"/>
    <w:rsid w:val="00B8233A"/>
    <w:rsid w:val="00B85A38"/>
    <w:rsid w:val="00BA0DD6"/>
    <w:rsid w:val="00BB7C54"/>
    <w:rsid w:val="00BD6586"/>
    <w:rsid w:val="00BF0BFD"/>
    <w:rsid w:val="00BF3965"/>
    <w:rsid w:val="00BF4C63"/>
    <w:rsid w:val="00BF6780"/>
    <w:rsid w:val="00C203F9"/>
    <w:rsid w:val="00C35922"/>
    <w:rsid w:val="00C35E90"/>
    <w:rsid w:val="00C3620B"/>
    <w:rsid w:val="00C52455"/>
    <w:rsid w:val="00C93B1F"/>
    <w:rsid w:val="00C94787"/>
    <w:rsid w:val="00C9524A"/>
    <w:rsid w:val="00CB50E8"/>
    <w:rsid w:val="00CD1639"/>
    <w:rsid w:val="00CD1AC0"/>
    <w:rsid w:val="00CE4FC4"/>
    <w:rsid w:val="00CF2F5D"/>
    <w:rsid w:val="00D0235D"/>
    <w:rsid w:val="00D05C4D"/>
    <w:rsid w:val="00D10A24"/>
    <w:rsid w:val="00D23562"/>
    <w:rsid w:val="00D34F55"/>
    <w:rsid w:val="00D64126"/>
    <w:rsid w:val="00D767DB"/>
    <w:rsid w:val="00D8477F"/>
    <w:rsid w:val="00D854D1"/>
    <w:rsid w:val="00D961B0"/>
    <w:rsid w:val="00D9729E"/>
    <w:rsid w:val="00DA3DC3"/>
    <w:rsid w:val="00DA650E"/>
    <w:rsid w:val="00DB3215"/>
    <w:rsid w:val="00DC0171"/>
    <w:rsid w:val="00DC1243"/>
    <w:rsid w:val="00DD0471"/>
    <w:rsid w:val="00DD17F7"/>
    <w:rsid w:val="00DD56CE"/>
    <w:rsid w:val="00DF38AE"/>
    <w:rsid w:val="00E04638"/>
    <w:rsid w:val="00E226FD"/>
    <w:rsid w:val="00E3411B"/>
    <w:rsid w:val="00E46339"/>
    <w:rsid w:val="00E47923"/>
    <w:rsid w:val="00E56127"/>
    <w:rsid w:val="00E61FB7"/>
    <w:rsid w:val="00E7469E"/>
    <w:rsid w:val="00E815D6"/>
    <w:rsid w:val="00EA0171"/>
    <w:rsid w:val="00EA1C68"/>
    <w:rsid w:val="00EA283D"/>
    <w:rsid w:val="00EB3135"/>
    <w:rsid w:val="00EB40EC"/>
    <w:rsid w:val="00EC629B"/>
    <w:rsid w:val="00EF7CBE"/>
    <w:rsid w:val="00F00C19"/>
    <w:rsid w:val="00F0320E"/>
    <w:rsid w:val="00F03549"/>
    <w:rsid w:val="00F055E8"/>
    <w:rsid w:val="00F15890"/>
    <w:rsid w:val="00F2053E"/>
    <w:rsid w:val="00F23691"/>
    <w:rsid w:val="00F37DE9"/>
    <w:rsid w:val="00F40027"/>
    <w:rsid w:val="00F403CC"/>
    <w:rsid w:val="00F4170C"/>
    <w:rsid w:val="00F63618"/>
    <w:rsid w:val="00FB3457"/>
    <w:rsid w:val="00FC26EF"/>
    <w:rsid w:val="00FE24F6"/>
    <w:rsid w:val="00FE5C5F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22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0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2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0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BD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rpodeltestoLucidaSansUnicode8ptNongrassettoSpaziatura-1pt">
    <w:name w:val="Corpo del testo + Lucida Sans Unicode;8 pt;Non grassetto;Spaziatura -1 pt"/>
    <w:basedOn w:val="Carpredefinitoparagrafo"/>
    <w:rsid w:val="001E7924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DA650E"/>
    <w:pPr>
      <w:jc w:val="center"/>
    </w:pPr>
    <w:rPr>
      <w:b/>
      <w:bCs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DA650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22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0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2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0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BD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rpodeltestoLucidaSansUnicode8ptNongrassettoSpaziatura-1pt">
    <w:name w:val="Corpo del testo + Lucida Sans Unicode;8 pt;Non grassetto;Spaziatura -1 pt"/>
    <w:basedOn w:val="Carpredefinitoparagrafo"/>
    <w:rsid w:val="001E7924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DA650E"/>
    <w:pPr>
      <w:jc w:val="center"/>
    </w:pPr>
    <w:rPr>
      <w:b/>
      <w:bCs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DA650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D20B-BD0F-4715-9C65-3366997C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Abbinante Caterina</dc:creator>
  <cp:lastModifiedBy>Abbinante Caterina</cp:lastModifiedBy>
  <cp:revision>16</cp:revision>
  <cp:lastPrinted>2016-11-14T14:58:00Z</cp:lastPrinted>
  <dcterms:created xsi:type="dcterms:W3CDTF">2017-05-31T10:19:00Z</dcterms:created>
  <dcterms:modified xsi:type="dcterms:W3CDTF">2017-06-01T15:26:00Z</dcterms:modified>
</cp:coreProperties>
</file>